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项目名称：台式晾片柜及晾片板</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供应商资质（如营业执照须圈出符合资质要求的经营范围和有效期等）</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1.供应商资质（如营业执照须圈出符合资质要求的经营范围和有效期、医疗器械须提供医疗器械销售质资）</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2"/>
        <w:gridCol w:w="6070"/>
        <w:gridCol w:w="96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62"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607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969"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数</w:t>
            </w:r>
            <w:r>
              <w:rPr>
                <w:rFonts w:hint="eastAsia" w:eastAsia="仿宋" w:cs="Times New Roman"/>
                <w:b/>
                <w:kern w:val="0"/>
                <w:sz w:val="24"/>
                <w:szCs w:val="24"/>
                <w:lang w:eastAsia="zh-CN"/>
              </w:rPr>
              <w:t>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2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台式晾片柜</w:t>
            </w:r>
          </w:p>
        </w:tc>
        <w:tc>
          <w:tcPr>
            <w:tcW w:w="6070" w:type="dxa"/>
            <w:vAlign w:val="center"/>
          </w:tcPr>
          <w:p>
            <w:pPr>
              <w:bidi w:val="0"/>
              <w:jc w:val="left"/>
              <w:rPr>
                <w:rFonts w:hint="eastAsia"/>
                <w:lang w:val="en-US" w:eastAsia="zh-CN"/>
              </w:rPr>
            </w:pPr>
            <w:r>
              <w:rPr>
                <w:rFonts w:hint="default"/>
                <w:lang w:val="en-US" w:eastAsia="zh-CN"/>
              </w:rPr>
              <w:t>容量充足，单次可处理</w:t>
            </w:r>
            <w:r>
              <w:rPr>
                <w:rFonts w:hint="eastAsia"/>
                <w:lang w:val="en-US" w:eastAsia="zh-CN"/>
              </w:rPr>
              <w:t>≥</w:t>
            </w:r>
            <w:r>
              <w:rPr>
                <w:rFonts w:hint="default"/>
                <w:lang w:val="en-US" w:eastAsia="zh-CN"/>
              </w:rPr>
              <w:t>200张片子</w:t>
            </w:r>
            <w:r>
              <w:rPr>
                <w:rFonts w:hint="eastAsia"/>
                <w:lang w:val="en-US" w:eastAsia="zh-CN"/>
              </w:rPr>
              <w:t>；</w:t>
            </w:r>
          </w:p>
          <w:p>
            <w:pPr>
              <w:bidi w:val="0"/>
              <w:jc w:val="left"/>
              <w:rPr>
                <w:rFonts w:hint="eastAsia"/>
                <w:lang w:val="en-US" w:eastAsia="zh-CN"/>
              </w:rPr>
            </w:pPr>
            <w:r>
              <w:rPr>
                <w:rFonts w:hint="eastAsia"/>
                <w:lang w:val="en-US" w:eastAsia="zh-CN"/>
              </w:rPr>
              <w:t>台式设计，陈列有序、使晾片工作更有条理；</w:t>
            </w:r>
          </w:p>
          <w:p>
            <w:pPr>
              <w:bidi w:val="0"/>
              <w:jc w:val="left"/>
              <w:rPr>
                <w:rFonts w:hint="eastAsia"/>
                <w:lang w:val="en-US" w:eastAsia="zh-CN"/>
              </w:rPr>
            </w:pPr>
            <w:r>
              <w:rPr>
                <w:rFonts w:hint="eastAsia"/>
                <w:lang w:val="en-US" w:eastAsia="zh-CN"/>
              </w:rPr>
              <w:t>要求具有NCCO氧聚解技术，在晾片工作中，快速处理有机毒害气体；</w:t>
            </w:r>
          </w:p>
          <w:p>
            <w:pPr>
              <w:bidi w:val="0"/>
              <w:jc w:val="left"/>
              <w:rPr>
                <w:rFonts w:hint="eastAsia"/>
                <w:lang w:val="en-US" w:eastAsia="zh-CN"/>
              </w:rPr>
            </w:pPr>
            <w:r>
              <w:rPr>
                <w:rFonts w:hint="eastAsia"/>
                <w:lang w:val="en-US" w:eastAsia="zh-CN"/>
              </w:rPr>
              <w:t>专业通风设计、快速晾片；</w:t>
            </w:r>
          </w:p>
          <w:p>
            <w:pPr>
              <w:bidi w:val="0"/>
              <w:jc w:val="left"/>
              <w:rPr>
                <w:rFonts w:hint="eastAsia"/>
                <w:lang w:val="en-US" w:eastAsia="zh-CN"/>
              </w:rPr>
            </w:pPr>
            <w:r>
              <w:rPr>
                <w:rFonts w:hint="eastAsia"/>
                <w:lang w:val="en-US" w:eastAsia="zh-CN"/>
              </w:rPr>
              <w:t>具有隔挡条，防止载玻片掉落；</w:t>
            </w:r>
          </w:p>
          <w:p>
            <w:pPr>
              <w:bidi w:val="0"/>
              <w:jc w:val="left"/>
              <w:rPr>
                <w:rFonts w:hint="eastAsia"/>
                <w:lang w:val="en-US" w:eastAsia="zh-CN"/>
              </w:rPr>
            </w:pPr>
            <w:r>
              <w:rPr>
                <w:rFonts w:hint="eastAsia"/>
                <w:lang w:val="en-US" w:eastAsia="zh-CN"/>
              </w:rPr>
              <w:t>柜体尺寸：235mm*340mm*290mm</w:t>
            </w:r>
          </w:p>
          <w:p>
            <w:pPr>
              <w:bidi w:val="0"/>
              <w:jc w:val="left"/>
              <w:rPr>
                <w:rFonts w:hint="default"/>
                <w:lang w:val="en-US" w:eastAsia="zh-CN"/>
              </w:rPr>
            </w:pPr>
            <w:r>
              <w:rPr>
                <w:rFonts w:hint="eastAsia"/>
                <w:lang w:val="en-US" w:eastAsia="zh-CN"/>
              </w:rPr>
              <w:t>质保期限为5年</w:t>
            </w:r>
          </w:p>
        </w:tc>
        <w:tc>
          <w:tcPr>
            <w:tcW w:w="969"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5</w:t>
            </w:r>
          </w:p>
        </w:tc>
        <w:tc>
          <w:tcPr>
            <w:tcW w:w="132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晾片板</w:t>
            </w:r>
          </w:p>
        </w:tc>
        <w:tc>
          <w:tcPr>
            <w:tcW w:w="6070" w:type="dxa"/>
            <w:vAlign w:val="center"/>
          </w:tcPr>
          <w:p>
            <w:pPr>
              <w:bidi w:val="0"/>
              <w:jc w:val="left"/>
              <w:rPr>
                <w:rFonts w:hint="default"/>
                <w:lang w:val="en-US" w:eastAsia="zh-CN"/>
              </w:rPr>
            </w:pPr>
            <w:r>
              <w:rPr>
                <w:rFonts w:hint="eastAsia"/>
                <w:lang w:val="en-US" w:eastAsia="zh-CN"/>
              </w:rPr>
              <w:t>与晾片柜同一品牌，配套使用，晾片板材质为环保优质ABS材料，坚固懒用，不易腐蚀，透风口设计，可重复利用；</w:t>
            </w:r>
          </w:p>
          <w:p>
            <w:pPr>
              <w:bidi w:val="0"/>
              <w:jc w:val="left"/>
              <w:rPr>
                <w:rFonts w:hint="eastAsia"/>
                <w:lang w:val="en-US" w:eastAsia="zh-CN"/>
              </w:rPr>
            </w:pPr>
            <w:r>
              <w:rPr>
                <w:rFonts w:hint="eastAsia"/>
                <w:lang w:val="en-US" w:eastAsia="zh-CN"/>
              </w:rPr>
              <w:t>颜色：可提供6种颜色，具体颜色及数量配比在合同签订时确定；</w:t>
            </w:r>
          </w:p>
          <w:p>
            <w:pPr>
              <w:bidi w:val="0"/>
              <w:jc w:val="left"/>
              <w:rPr>
                <w:rFonts w:hint="default"/>
                <w:lang w:val="en-US" w:eastAsia="zh-CN"/>
              </w:rPr>
            </w:pPr>
            <w:r>
              <w:rPr>
                <w:rFonts w:hint="eastAsia"/>
                <w:lang w:val="en-US" w:eastAsia="zh-CN"/>
              </w:rPr>
              <w:t>尺寸：308mm*194mm*11mm，每板可容纳20张标准大小载玻片。质保期限为1年</w:t>
            </w:r>
          </w:p>
        </w:tc>
        <w:tc>
          <w:tcPr>
            <w:tcW w:w="969"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350</w:t>
            </w:r>
          </w:p>
        </w:tc>
        <w:tc>
          <w:tcPr>
            <w:tcW w:w="132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
                <w:bCs w:val="0"/>
                <w:sz w:val="24"/>
                <w:szCs w:val="24"/>
                <w:lang w:val="en-US" w:eastAsia="zh-CN"/>
              </w:rPr>
              <w:t>注意：每条参数须投标供应商提供佐证材料供采购人审核</w:t>
            </w:r>
            <w:r>
              <w:rPr>
                <w:rFonts w:hint="eastAsia" w:ascii="方正仿宋_GBK" w:hAnsi="方正仿宋_GBK" w:eastAsia="方正仿宋_GBK" w:cs="方正仿宋_GBK"/>
                <w:bCs/>
                <w:sz w:val="24"/>
                <w:szCs w:val="24"/>
                <w:lang w:val="en-US" w:eastAsia="zh-CN"/>
              </w:rPr>
              <w:t>，产品合计最高限价24500元。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20个工作日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运输装卸费、税费、保险费、场地清洁费、验收检测费等完成本项目所需的一切费用。因成交供应商自身原因造成漏报、少报皆由其自行承担责任，采购人不再补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验收通过后一次性付款100%。</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val="en-US" w:eastAsia="zh-CN"/>
              </w:rPr>
              <w:t>和廉政购销协议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和质保承诺，确保产品来源正规。</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w:t>
            </w:r>
            <w:r>
              <w:rPr>
                <w:rFonts w:hint="eastAsia" w:ascii="方正仿宋_GBK" w:hAnsi="方正仿宋_GBK" w:eastAsia="方正仿宋_GBK" w:cs="方正仿宋_GBK"/>
                <w:sz w:val="24"/>
                <w:szCs w:val="24"/>
                <w:lang w:val="en-US" w:eastAsia="zh-CN"/>
              </w:rPr>
              <w:t>外观验收，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sz w:val="24"/>
                <w:szCs w:val="24"/>
                <w:lang w:val="en-US" w:eastAsia="zh-CN"/>
              </w:rPr>
              <w:t>送货时</w:t>
            </w:r>
            <w:r>
              <w:rPr>
                <w:rFonts w:hint="eastAsia" w:ascii="方正仿宋_GBK" w:hAnsi="方正仿宋_GBK" w:eastAsia="方正仿宋_GBK" w:cs="方正仿宋_GBK"/>
                <w:b/>
                <w:bCs/>
                <w:sz w:val="24"/>
                <w:szCs w:val="24"/>
                <w:lang w:val="en-US" w:eastAsia="zh-CN"/>
              </w:rPr>
              <w:t>生产日期为一年以内的产品</w:t>
            </w:r>
            <w:r>
              <w:rPr>
                <w:rFonts w:hint="eastAsia" w:ascii="方正仿宋_GBK" w:hAnsi="方正仿宋_GBK" w:eastAsia="方正仿宋_GBK" w:cs="方正仿宋_GBK"/>
                <w:sz w:val="24"/>
                <w:szCs w:val="24"/>
              </w:rPr>
              <w:t>。如有缺漏、损坏</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变质</w:t>
            </w:r>
            <w:r>
              <w:rPr>
                <w:rFonts w:hint="eastAsia" w:ascii="方正仿宋_GBK" w:hAnsi="方正仿宋_GBK" w:eastAsia="方正仿宋_GBK" w:cs="方正仿宋_GBK"/>
                <w:sz w:val="24"/>
                <w:szCs w:val="24"/>
              </w:rPr>
              <w:t>，由供应商负责调换、补齐或赔偿。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5.产品</w:t>
            </w:r>
            <w:r>
              <w:rPr>
                <w:rFonts w:hint="eastAsia" w:ascii="方正仿宋_GBK" w:hAnsi="方正仿宋_GBK" w:eastAsia="方正仿宋_GBK" w:cs="方正仿宋_GBK"/>
                <w:sz w:val="24"/>
                <w:szCs w:val="24"/>
              </w:rPr>
              <w:t>技术资料、装箱单、合格证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检测报告</w:t>
            </w:r>
            <w:r>
              <w:rPr>
                <w:rFonts w:hint="eastAsia" w:ascii="方正仿宋_GBK" w:hAnsi="方正仿宋_GBK" w:eastAsia="方正仿宋_GBK" w:cs="方正仿宋_GBK"/>
                <w:sz w:val="24"/>
                <w:szCs w:val="24"/>
              </w:rPr>
              <w:t>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6.使用中采购人发现疑似产品质量问题可通知第三方机构进行检测，供应商应承担鉴定费用。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sz w:val="24"/>
                <w:szCs w:val="24"/>
                <w:lang w:val="en-US" w:eastAsia="zh-CN"/>
              </w:rPr>
              <w:t>产品发现任何质量问题，采购人有权要求供应商维修整改和退还，如产品变色、脱色、破损等。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由制造商负责标准售后服务</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10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5"/>
            <w:vAlign w:val="center"/>
          </w:tcPr>
          <w:tbl>
            <w:tblPr>
              <w:tblStyle w:val="13"/>
              <w:tblpPr w:leftFromText="180" w:rightFromText="180" w:vertAnchor="text" w:horzAnchor="page" w:tblpX="151" w:tblpY="355"/>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18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772" w:type="dxa"/>
                  <w:vAlign w:val="center"/>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1200" w:type="dxa"/>
                  <w:vAlign w:val="center"/>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1119" w:type="dxa"/>
                  <w:vAlign w:val="center"/>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1159" w:type="dxa"/>
                  <w:vAlign w:val="center"/>
                </w:tcPr>
                <w:p>
                  <w:pPr>
                    <w:widowControl/>
                    <w:spacing w:line="360" w:lineRule="auto"/>
                    <w:jc w:val="center"/>
                    <w:rPr>
                      <w:rFonts w:hint="eastAsia" w:ascii="仿宋" w:hAnsi="仿宋" w:eastAsia="仿宋" w:cs="仿宋"/>
                      <w:b/>
                      <w:bCs/>
                      <w:color w:val="555555"/>
                      <w:spacing w:val="-34"/>
                      <w:kern w:val="0"/>
                      <w:sz w:val="24"/>
                      <w:lang w:val="en-US" w:eastAsia="zh-CN" w:bidi="ar"/>
                    </w:rPr>
                  </w:pPr>
                  <w:r>
                    <w:rPr>
                      <w:rFonts w:hint="eastAsia" w:ascii="仿宋" w:hAnsi="仿宋" w:eastAsia="仿宋" w:cs="仿宋"/>
                      <w:b/>
                      <w:bCs/>
                      <w:color w:val="555555"/>
                      <w:spacing w:val="-34"/>
                      <w:kern w:val="0"/>
                      <w:sz w:val="24"/>
                      <w:lang w:bidi="ar"/>
                    </w:rPr>
                    <w:t>产品品牌</w:t>
                  </w:r>
                  <w:r>
                    <w:rPr>
                      <w:rFonts w:hint="eastAsia" w:ascii="仿宋" w:hAnsi="仿宋" w:eastAsia="仿宋" w:cs="仿宋"/>
                      <w:b/>
                      <w:bCs/>
                      <w:color w:val="555555"/>
                      <w:spacing w:val="-34"/>
                      <w:kern w:val="0"/>
                      <w:sz w:val="24"/>
                      <w:lang w:val="en-US" w:eastAsia="zh-CN" w:bidi="ar"/>
                    </w:rPr>
                    <w:t>型号</w:t>
                  </w:r>
                </w:p>
              </w:tc>
              <w:tc>
                <w:tcPr>
                  <w:tcW w:w="1704" w:type="dxa"/>
                  <w:vAlign w:val="center"/>
                </w:tcPr>
                <w:p>
                  <w:pPr>
                    <w:widowControl/>
                    <w:spacing w:line="360" w:lineRule="auto"/>
                    <w:ind w:right="-8"/>
                    <w:jc w:val="center"/>
                    <w:rPr>
                      <w:rFonts w:hint="eastAsia" w:ascii="仿宋" w:hAnsi="仿宋" w:eastAsia="仿宋" w:cs="仿宋"/>
                      <w:b/>
                      <w:bCs/>
                      <w:color w:val="555555"/>
                      <w:spacing w:val="-34"/>
                      <w:kern w:val="0"/>
                      <w:sz w:val="24"/>
                      <w:lang w:val="en-US" w:eastAsia="zh-CN" w:bidi="ar"/>
                    </w:rPr>
                  </w:pPr>
                  <w:r>
                    <w:rPr>
                      <w:rFonts w:hint="eastAsia" w:ascii="仿宋" w:hAnsi="仿宋" w:eastAsia="仿宋" w:cs="仿宋"/>
                      <w:b/>
                      <w:bCs/>
                      <w:color w:val="555555"/>
                      <w:spacing w:val="-34"/>
                      <w:kern w:val="0"/>
                      <w:sz w:val="24"/>
                      <w:lang w:val="en-US" w:eastAsia="zh-CN" w:bidi="ar"/>
                    </w:rPr>
                    <w:t>质保期（年）</w:t>
                  </w:r>
                </w:p>
              </w:tc>
              <w:tc>
                <w:tcPr>
                  <w:tcW w:w="1180" w:type="dxa"/>
                  <w:vAlign w:val="center"/>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w:t>
                  </w:r>
                  <w:r>
                    <w:rPr>
                      <w:rFonts w:hint="eastAsia" w:ascii="仿宋" w:hAnsi="仿宋" w:eastAsia="仿宋" w:cs="仿宋"/>
                      <w:b/>
                      <w:bCs/>
                      <w:color w:val="555555"/>
                      <w:spacing w:val="-34"/>
                      <w:kern w:val="0"/>
                      <w:sz w:val="24"/>
                      <w:lang w:val="en-US" w:eastAsia="zh-CN" w:bidi="ar"/>
                    </w:rPr>
                    <w:t>报价（</w:t>
                  </w:r>
                  <w:r>
                    <w:rPr>
                      <w:rFonts w:hint="eastAsia" w:ascii="仿宋" w:hAnsi="仿宋" w:eastAsia="仿宋" w:cs="仿宋"/>
                      <w:b/>
                      <w:bCs/>
                      <w:color w:val="555555"/>
                      <w:spacing w:val="-34"/>
                      <w:kern w:val="0"/>
                      <w:sz w:val="24"/>
                      <w:lang w:bidi="ar"/>
                    </w:rPr>
                    <w:t>元）</w:t>
                  </w:r>
                </w:p>
              </w:tc>
              <w:tc>
                <w:tcPr>
                  <w:tcW w:w="1028" w:type="dxa"/>
                  <w:vAlign w:val="center"/>
                </w:tcPr>
                <w:p>
                  <w:pPr>
                    <w:widowControl/>
                    <w:spacing w:line="360" w:lineRule="auto"/>
                    <w:jc w:val="center"/>
                    <w:rPr>
                      <w:rFonts w:hint="default" w:ascii="仿宋" w:hAnsi="仿宋" w:eastAsia="仿宋" w:cs="仿宋"/>
                      <w:b/>
                      <w:bCs/>
                      <w:color w:val="555555"/>
                      <w:spacing w:val="-34"/>
                      <w:kern w:val="0"/>
                      <w:sz w:val="24"/>
                      <w:lang w:val="en-US" w:eastAsia="zh-CN" w:bidi="ar"/>
                    </w:rPr>
                  </w:pPr>
                  <w:r>
                    <w:rPr>
                      <w:rFonts w:hint="eastAsia" w:ascii="仿宋" w:hAnsi="仿宋" w:eastAsia="仿宋" w:cs="仿宋"/>
                      <w:b/>
                      <w:bCs/>
                      <w:color w:val="555555"/>
                      <w:spacing w:val="-34"/>
                      <w:kern w:val="0"/>
                      <w:sz w:val="24"/>
                      <w:lang w:val="en-US" w:eastAsia="zh-CN" w:bidi="ar"/>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772" w:type="dxa"/>
                  <w:vAlign w:val="center"/>
                </w:tcPr>
                <w:p>
                  <w:pPr>
                    <w:bidi w:val="0"/>
                    <w:jc w:val="left"/>
                    <w:rPr>
                      <w:rFonts w:hint="eastAsia" w:ascii="仿宋" w:hAnsi="仿宋" w:eastAsia="仿宋" w:cs="仿宋"/>
                      <w:b/>
                      <w:bCs/>
                      <w:color w:val="555555"/>
                      <w:kern w:val="0"/>
                      <w:sz w:val="24"/>
                      <w:lang w:eastAsia="zh-CN" w:bidi="ar"/>
                    </w:rPr>
                  </w:pPr>
                  <w:r>
                    <w:rPr>
                      <w:rFonts w:hint="eastAsia" w:ascii="方正仿宋_GBK" w:hAnsi="方正仿宋_GBK" w:eastAsia="方正仿宋_GBK" w:cs="方正仿宋_GBK"/>
                      <w:sz w:val="24"/>
                      <w:szCs w:val="24"/>
                      <w:lang w:val="en-US" w:eastAsia="zh-CN"/>
                    </w:rPr>
                    <w:t>5个台式晾片柜</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180" w:type="dxa"/>
                </w:tcPr>
                <w:p>
                  <w:pPr>
                    <w:widowControl/>
                    <w:spacing w:line="360" w:lineRule="auto"/>
                    <w:jc w:val="left"/>
                    <w:rPr>
                      <w:rFonts w:ascii="仿宋" w:hAnsi="仿宋" w:eastAsia="仿宋" w:cs="仿宋"/>
                      <w:b/>
                      <w:bCs/>
                      <w:color w:val="555555"/>
                      <w:kern w:val="0"/>
                      <w:sz w:val="32"/>
                      <w:szCs w:val="32"/>
                      <w:lang w:bidi="ar"/>
                    </w:rPr>
                  </w:pPr>
                </w:p>
              </w:tc>
              <w:tc>
                <w:tcPr>
                  <w:tcW w:w="1028" w:type="dxa"/>
                  <w:vMerge w:val="restart"/>
                </w:tcPr>
                <w:p>
                  <w:pPr>
                    <w:widowControl/>
                    <w:spacing w:line="360" w:lineRule="auto"/>
                    <w:jc w:val="left"/>
                    <w:rPr>
                      <w:rFonts w:ascii="仿宋" w:hAnsi="仿宋" w:eastAsia="仿宋" w:cs="仿宋"/>
                      <w:b/>
                      <w:bCs/>
                      <w:color w:val="555555"/>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eastAsia" w:ascii="仿宋" w:hAnsi="仿宋" w:eastAsia="仿宋" w:cs="仿宋"/>
                      <w:b/>
                      <w:bCs/>
                      <w:color w:val="555555"/>
                      <w:kern w:val="0"/>
                      <w:sz w:val="24"/>
                      <w:lang w:val="en-US" w:eastAsia="zh-CN" w:bidi="ar"/>
                    </w:rPr>
                  </w:pPr>
                  <w:r>
                    <w:rPr>
                      <w:rFonts w:hint="eastAsia" w:ascii="仿宋" w:hAnsi="仿宋" w:eastAsia="仿宋" w:cs="仿宋"/>
                      <w:b/>
                      <w:bCs/>
                      <w:color w:val="555555"/>
                      <w:kern w:val="0"/>
                      <w:sz w:val="24"/>
                      <w:lang w:val="en-US" w:eastAsia="zh-CN" w:bidi="ar"/>
                    </w:rPr>
                    <w:t>2</w:t>
                  </w:r>
                </w:p>
              </w:tc>
              <w:tc>
                <w:tcPr>
                  <w:tcW w:w="1772" w:type="dxa"/>
                  <w:vAlign w:val="center"/>
                </w:tcPr>
                <w:p>
                  <w:pPr>
                    <w:bidi w:val="0"/>
                    <w:jc w:val="left"/>
                    <w:rPr>
                      <w:rFonts w:hint="eastAsia" w:ascii="仿宋" w:hAnsi="仿宋" w:eastAsia="仿宋" w:cs="仿宋"/>
                      <w:b/>
                      <w:bCs/>
                      <w:color w:val="555555"/>
                      <w:kern w:val="0"/>
                      <w:sz w:val="24"/>
                      <w:lang w:val="en-US" w:eastAsia="zh-CN" w:bidi="ar"/>
                    </w:rPr>
                  </w:pPr>
                  <w:r>
                    <w:rPr>
                      <w:rFonts w:hint="eastAsia" w:ascii="方正仿宋_GBK" w:hAnsi="方正仿宋_GBK" w:eastAsia="方正仿宋_GBK" w:cs="方正仿宋_GBK"/>
                      <w:sz w:val="24"/>
                      <w:szCs w:val="24"/>
                      <w:lang w:val="en-US" w:eastAsia="zh-CN"/>
                    </w:rPr>
                    <w:t>350张晾片板</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180" w:type="dxa"/>
                </w:tcPr>
                <w:p>
                  <w:pPr>
                    <w:widowControl/>
                    <w:spacing w:line="360" w:lineRule="auto"/>
                    <w:jc w:val="left"/>
                    <w:rPr>
                      <w:rFonts w:ascii="仿宋" w:hAnsi="仿宋" w:eastAsia="仿宋" w:cs="仿宋"/>
                      <w:b/>
                      <w:bCs/>
                      <w:color w:val="555555"/>
                      <w:kern w:val="0"/>
                      <w:sz w:val="32"/>
                      <w:szCs w:val="32"/>
                      <w:lang w:bidi="ar"/>
                    </w:rPr>
                  </w:pPr>
                </w:p>
              </w:tc>
              <w:tc>
                <w:tcPr>
                  <w:tcW w:w="1028" w:type="dxa"/>
                  <w:vMerge w:val="continue"/>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hint="eastAsia" w:ascii="仿宋" w:hAnsi="仿宋" w:eastAsia="仿宋" w:cs="仿宋"/>
                <w:b/>
                <w:bCs/>
                <w:color w:val="555555"/>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5"/>
            <w:vAlign w:val="center"/>
          </w:tcPr>
          <w:p>
            <w:pPr>
              <w:pStyle w:val="9"/>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9"/>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559"/>
      <w:bookmarkStart w:id="3" w:name="_Toc173677397"/>
      <w:bookmarkStart w:id="4" w:name="_Toc128229302"/>
      <w:bookmarkStart w:id="5" w:name="_Toc166139912"/>
      <w:bookmarkStart w:id="6" w:name="_Toc166549448"/>
      <w:bookmarkStart w:id="7" w:name="_Toc156730450"/>
      <w:bookmarkStart w:id="8" w:name="_Toc156815770"/>
      <w:bookmarkStart w:id="9" w:name="_Toc156196470"/>
      <w:bookmarkStart w:id="10" w:name="_Toc175017342"/>
      <w:bookmarkStart w:id="11" w:name="_Toc128229916"/>
      <w:bookmarkStart w:id="12" w:name="_Toc128229745"/>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196471"/>
      <w:bookmarkStart w:id="14" w:name="_Toc173677398"/>
      <w:bookmarkStart w:id="15" w:name="_Toc166139913"/>
      <w:bookmarkStart w:id="16" w:name="_Toc128229303"/>
      <w:bookmarkStart w:id="17" w:name="_Toc166549449"/>
      <w:bookmarkStart w:id="18" w:name="_Toc175017343"/>
      <w:bookmarkStart w:id="19" w:name="_Toc128229746"/>
      <w:bookmarkStart w:id="20" w:name="_Toc156196560"/>
      <w:bookmarkStart w:id="21" w:name="_Toc156730451"/>
      <w:bookmarkStart w:id="22" w:name="_Toc156815771"/>
      <w:bookmarkStart w:id="23" w:name="_Toc128229917"/>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175017344"/>
      <w:bookmarkStart w:id="26" w:name="_Toc156196472"/>
      <w:bookmarkStart w:id="27" w:name="_Toc237057793"/>
      <w:bookmarkStart w:id="28" w:name="_Toc128014297"/>
      <w:bookmarkStart w:id="29" w:name="_Toc173677399"/>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306e64cd-4881-4979-b837-0c969e304a59"/>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183463E"/>
    <w:rsid w:val="32112F37"/>
    <w:rsid w:val="33FB61AD"/>
    <w:rsid w:val="342C6BC9"/>
    <w:rsid w:val="376E6279"/>
    <w:rsid w:val="38A14340"/>
    <w:rsid w:val="3D8263F7"/>
    <w:rsid w:val="3F5D6CC7"/>
    <w:rsid w:val="44C5770F"/>
    <w:rsid w:val="44EF71C4"/>
    <w:rsid w:val="46762EB5"/>
    <w:rsid w:val="47112DA6"/>
    <w:rsid w:val="482D6FF9"/>
    <w:rsid w:val="49504438"/>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4025</Words>
  <Characters>4175</Characters>
  <Lines>0</Lines>
  <Paragraphs>0</Paragraphs>
  <TotalTime>4</TotalTime>
  <ScaleCrop>false</ScaleCrop>
  <LinksUpToDate>false</LinksUpToDate>
  <CharactersWithSpaces>4743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2024-05-09T09:05:30Z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B6B81F60A80A41AB962E234BDC17DC43</vt:lpwstr>
  </property>
</Properties>
</file>